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093"/>
        <w:gridCol w:w="7432"/>
      </w:tblGrid>
      <w:tr w:rsidR="00B3183D" w14:paraId="42F77BF7" w14:textId="77777777">
        <w:trPr>
          <w:trHeight w:val="270"/>
        </w:trPr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26C9E" w14:textId="77777777" w:rsidR="00B3183D" w:rsidRDefault="00A37304">
            <w:pPr>
              <w:widowControl w:val="0"/>
              <w:spacing w:after="0" w:line="24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74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DBA78" w14:textId="7C243B50" w:rsidR="00B3183D" w:rsidRDefault="007F64BE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County</w:t>
            </w:r>
            <w:r w:rsidR="009379A9">
              <w:rPr>
                <w:rFonts w:ascii="Arial" w:hAnsi="Arial"/>
                <w:sz w:val="24"/>
                <w:szCs w:val="24"/>
              </w:rPr>
              <w:t xml:space="preserve"> </w:t>
            </w:r>
            <w:r w:rsidR="00A37304">
              <w:rPr>
                <w:rFonts w:ascii="Arial" w:hAnsi="Arial"/>
                <w:sz w:val="24"/>
                <w:szCs w:val="24"/>
              </w:rPr>
              <w:t>Councillor’s Report</w:t>
            </w:r>
          </w:p>
        </w:tc>
      </w:tr>
      <w:tr w:rsidR="00B3183D" w14:paraId="69FBD053" w14:textId="77777777"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7B90" w14:textId="77777777" w:rsidR="00B3183D" w:rsidRDefault="00A37304">
            <w:pPr>
              <w:widowControl w:val="0"/>
              <w:spacing w:after="0" w:line="24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>Author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A00C11" w14:textId="77777777" w:rsidR="00B3183D" w:rsidRDefault="00A37304">
            <w:pPr>
              <w:widowControl w:val="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Cllr</w:t>
            </w:r>
            <w:r w:rsidR="007C3BA6">
              <w:rPr>
                <w:rFonts w:ascii="Arial" w:hAnsi="Arial"/>
                <w:sz w:val="24"/>
                <w:szCs w:val="24"/>
              </w:rPr>
              <w:t xml:space="preserve"> Robin Bennett</w:t>
            </w:r>
          </w:p>
        </w:tc>
      </w:tr>
      <w:tr w:rsidR="00B3183D" w14:paraId="0373D058" w14:textId="77777777"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3EC92" w14:textId="0FE3F7E3" w:rsidR="00B3183D" w:rsidRDefault="007F64BE">
            <w:pPr>
              <w:widowControl w:val="0"/>
              <w:spacing w:after="0" w:line="24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>Division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796E0" w14:textId="5662C745" w:rsidR="00B3183D" w:rsidRDefault="007F64BE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Berinsfield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Garsington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Division </w:t>
            </w:r>
          </w:p>
        </w:tc>
      </w:tr>
      <w:tr w:rsidR="00B3183D" w14:paraId="7B00BE5A" w14:textId="77777777">
        <w:trPr>
          <w:trHeight w:val="420"/>
        </w:trPr>
        <w:tc>
          <w:tcPr>
            <w:tcW w:w="20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D0C5F98" w14:textId="77777777" w:rsidR="00B3183D" w:rsidRDefault="00A37304">
            <w:pPr>
              <w:widowControl w:val="0"/>
              <w:spacing w:after="0" w:line="24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EBBF05C" w14:textId="0D0E8957" w:rsidR="00B3183D" w:rsidRDefault="007D1DA9">
            <w:pPr>
              <w:widowControl w:val="0"/>
              <w:spacing w:after="0" w:line="240" w:lineRule="auto"/>
            </w:pPr>
            <w:r>
              <w:t>April</w:t>
            </w:r>
            <w:r w:rsidR="00DF5C06">
              <w:t xml:space="preserve"> 2022</w:t>
            </w:r>
          </w:p>
        </w:tc>
      </w:tr>
    </w:tbl>
    <w:p w14:paraId="66938717" w14:textId="77777777" w:rsidR="009B1DCE" w:rsidRDefault="009B1DCE" w:rsidP="00AF34B0">
      <w:pPr>
        <w:spacing w:line="240" w:lineRule="auto"/>
        <w:rPr>
          <w:rFonts w:ascii="Arial" w:hAnsi="Arial" w:cs="Arial"/>
          <w:b/>
          <w:bCs/>
        </w:rPr>
      </w:pPr>
    </w:p>
    <w:p w14:paraId="0991621F" w14:textId="38895FAE" w:rsidR="00E91E67" w:rsidRPr="0014268F" w:rsidRDefault="00E91E67" w:rsidP="00E91E6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 xml:space="preserve">County Council calls </w:t>
      </w:r>
      <w:r w:rsidR="00292625"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>for</w:t>
      </w:r>
      <w:r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 xml:space="preserve"> government</w:t>
      </w:r>
      <w:r w:rsidR="00292625"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 xml:space="preserve"> </w:t>
      </w:r>
      <w:r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 xml:space="preserve">review </w:t>
      </w:r>
      <w:r w:rsidR="00292625"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 xml:space="preserve">of </w:t>
      </w:r>
      <w:r w:rsidRPr="0014268F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 xml:space="preserve">adult social care funding </w:t>
      </w:r>
    </w:p>
    <w:p w14:paraId="5D5B83E6" w14:textId="4C5D5ECF" w:rsidR="00E91E67" w:rsidRPr="0014268F" w:rsidRDefault="00E91E67" w:rsidP="00E91E6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O</w:t>
      </w:r>
      <w:r w:rsidR="003F439F"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CC</w:t>
      </w:r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 </w:t>
      </w:r>
      <w:r w:rsidR="000222E0"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called</w:t>
      </w:r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 on the government to review its funding allocations for adult social care, following publication of </w:t>
      </w:r>
      <w:r w:rsidR="007D1DA9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a </w:t>
      </w:r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review into the cost of care</w:t>
      </w:r>
      <w:r w:rsidR="007D1DA9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 by the County Councils Network. </w:t>
      </w:r>
      <w:proofErr w:type="spellStart"/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The</w:t>
      </w:r>
      <w:proofErr w:type="spellEnd"/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 report estimates that, nationally, an extra £854 million is needed in the allocation fund each year to make care sustainable and avoid large-scale closures and ensure ongoing investment into the social care sector.</w:t>
      </w:r>
    </w:p>
    <w:p w14:paraId="6743192A" w14:textId="60C1D3D8" w:rsidR="00A41CE5" w:rsidRPr="0014268F" w:rsidRDefault="00E91E67" w:rsidP="0014268F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> </w:t>
      </w:r>
    </w:p>
    <w:p w14:paraId="0635591B" w14:textId="3F215B2E" w:rsidR="00A21D8E" w:rsidRPr="0014268F" w:rsidRDefault="00A21D8E" w:rsidP="00A21D8E">
      <w:pPr>
        <w:shd w:val="clear" w:color="auto" w:fill="FFFFFF"/>
        <w:suppressAutoHyphens w:val="0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b/>
          <w:bCs/>
          <w:color w:val="1A1A1A"/>
          <w:kern w:val="36"/>
          <w:sz w:val="24"/>
          <w:szCs w:val="24"/>
          <w:lang w:eastAsia="en-GB"/>
        </w:rPr>
        <w:t xml:space="preserve">County Council to pursue detailed discussions on stadium proposal </w:t>
      </w:r>
    </w:p>
    <w:p w14:paraId="5018F957" w14:textId="27C9D72E" w:rsidR="00A21D8E" w:rsidRPr="0014268F" w:rsidRDefault="00A21D8E" w:rsidP="00AC0C05">
      <w:pPr>
        <w:shd w:val="clear" w:color="auto" w:fill="FFFFFF"/>
        <w:suppressAutoHyphens w:val="0"/>
        <w:spacing w:after="18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Oxford United FC</w:t>
      </w:r>
      <w:r w:rsidR="00270C6B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’s bid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to lease </w:t>
      </w:r>
      <w:r w:rsidR="006D6A26"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18 hectares at </w:t>
      </w:r>
      <w:proofErr w:type="spellStart"/>
      <w:r w:rsidR="006D6A26"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Stratfield</w:t>
      </w:r>
      <w:proofErr w:type="spellEnd"/>
      <w:r w:rsidR="006D6A26"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Brake in Kidlington for 250 years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to develop a new 18,000 capacity football stadium is set to be discussed</w:t>
      </w:r>
      <w:r w:rsidR="00CA7DDD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,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based on objectives that have been guided by </w:t>
      </w:r>
      <w:r w:rsidR="00270C6B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extensive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public feedback.</w:t>
      </w:r>
      <w:r w:rsidR="006D6A26" w:rsidRPr="0014268F"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  <w:t xml:space="preserve"> </w:t>
      </w:r>
      <w:r w:rsidRPr="0014268F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 xml:space="preserve">In January </w:t>
      </w:r>
      <w:r w:rsidR="00CA7DDD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>the council conducted a</w:t>
      </w:r>
      <w:r w:rsidRPr="0014268F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 xml:space="preserve"> public engagement exercise </w:t>
      </w:r>
      <w:r w:rsidR="00CA7DDD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 xml:space="preserve">on </w:t>
      </w:r>
      <w:r w:rsidRPr="0014268F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>the stadium proposal</w:t>
      </w:r>
      <w:r w:rsidR="00270C6B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>, and a</w:t>
      </w:r>
      <w:r w:rsidRPr="0014268F">
        <w:rPr>
          <w:rFonts w:ascii="Helvetica" w:eastAsia="Times New Roman" w:hAnsi="Helvetica" w:cs="Times New Roman"/>
          <w:color w:val="0B0C0C"/>
          <w:kern w:val="36"/>
          <w:sz w:val="24"/>
          <w:szCs w:val="24"/>
          <w:lang w:eastAsia="en-GB"/>
        </w:rPr>
        <w:t xml:space="preserve"> total of 3,740 responses were received. </w:t>
      </w:r>
      <w:r w:rsidRPr="0014268F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Cabinet has </w:t>
      </w:r>
      <w:r w:rsidR="00CA7DD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agreed</w:t>
      </w:r>
      <w:r w:rsidRPr="0014268F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that the council should enter discussions </w:t>
      </w:r>
      <w:r w:rsidR="00CA7DDD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while seeking maximum environmental, transport and education benefits.</w:t>
      </w:r>
    </w:p>
    <w:p w14:paraId="6CC62801" w14:textId="69667390" w:rsidR="00270C6B" w:rsidRPr="00270C6B" w:rsidRDefault="00270C6B" w:rsidP="00270C6B">
      <w:pPr>
        <w:pBdr>
          <w:bottom w:val="single" w:sz="12" w:space="1" w:color="auto"/>
        </w:pBdr>
        <w:shd w:val="clear" w:color="auto" w:fill="FFFFFF"/>
        <w:suppressAutoHyphens w:val="0"/>
        <w:spacing w:before="240" w:after="24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A74C80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>Oxfordshire’s £32.8m Zero Emission Bus Regional Areas (ZEBRA</w:t>
      </w:r>
      <w:r w:rsidRPr="00A74C8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en-GB"/>
        </w:rPr>
        <w:t>) </w:t>
      </w:r>
      <w:r w:rsidRPr="00A74C80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>bid to the Department for Transport (</w:t>
      </w:r>
      <w:proofErr w:type="spellStart"/>
      <w:r w:rsidRPr="00A74C80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>DfT</w:t>
      </w:r>
      <w:proofErr w:type="spellEnd"/>
      <w:r w:rsidRPr="00A74C80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>) was successful</w:t>
      </w:r>
      <w:r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en-GB"/>
        </w:rPr>
        <w:t>.</w:t>
      </w:r>
    </w:p>
    <w:p w14:paraId="6AC3BE1B" w14:textId="62114D3C" w:rsidR="00732437" w:rsidRPr="00CA7DDD" w:rsidRDefault="00732437" w:rsidP="00CA7DDD">
      <w:pPr>
        <w:rPr>
          <w:rFonts w:ascii="Helvetica" w:hAnsi="Helvetica"/>
          <w:sz w:val="24"/>
          <w:szCs w:val="24"/>
        </w:rPr>
      </w:pPr>
      <w:r w:rsidRPr="00CA7DDD">
        <w:rPr>
          <w:rFonts w:ascii="Helvetica" w:hAnsi="Helvetica"/>
          <w:sz w:val="24"/>
          <w:szCs w:val="24"/>
        </w:rPr>
        <w:t>Along with £6m from the council and £43.7m from bus companies Go Ahead and Stagecoach, the</w:t>
      </w:r>
      <w:r w:rsidR="002D1D85">
        <w:rPr>
          <w:rFonts w:ascii="Helvetica" w:hAnsi="Helvetica"/>
          <w:sz w:val="24"/>
          <w:szCs w:val="24"/>
        </w:rPr>
        <w:t xml:space="preserve"> </w:t>
      </w:r>
      <w:r w:rsidRPr="00CA7DDD">
        <w:rPr>
          <w:rFonts w:ascii="Helvetica" w:hAnsi="Helvetica"/>
          <w:sz w:val="24"/>
          <w:szCs w:val="24"/>
        </w:rPr>
        <w:t>funding will deliver 159 electric buses and the infrastructure to charge them in a package worth £82.5m.</w:t>
      </w:r>
    </w:p>
    <w:p w14:paraId="63C30A9E" w14:textId="787229CA" w:rsidR="00270C6B" w:rsidRDefault="00732437" w:rsidP="00CA7DDD">
      <w:pPr>
        <w:rPr>
          <w:rFonts w:ascii="Helvetica" w:hAnsi="Helvetica"/>
          <w:sz w:val="24"/>
          <w:szCs w:val="24"/>
          <w:lang w:eastAsia="en-GB"/>
        </w:rPr>
      </w:pPr>
      <w:r w:rsidRPr="00CA7DDD">
        <w:rPr>
          <w:rFonts w:ascii="Helvetica" w:hAnsi="Helvetica"/>
          <w:sz w:val="24"/>
          <w:szCs w:val="24"/>
        </w:rPr>
        <w:t>The electric buses will be rolled out starting from summer 2023</w:t>
      </w:r>
      <w:r w:rsidR="002D1D85">
        <w:rPr>
          <w:rFonts w:ascii="Helvetica" w:hAnsi="Helvetica"/>
          <w:sz w:val="24"/>
          <w:szCs w:val="24"/>
        </w:rPr>
        <w:t xml:space="preserve"> and </w:t>
      </w:r>
      <w:r w:rsidRPr="00CA7DDD">
        <w:rPr>
          <w:rFonts w:ascii="Helvetica" w:hAnsi="Helvetica"/>
          <w:sz w:val="24"/>
          <w:szCs w:val="24"/>
        </w:rPr>
        <w:t xml:space="preserve">will be used on bus routes operating </w:t>
      </w:r>
      <w:r w:rsidR="002D1D85">
        <w:rPr>
          <w:rFonts w:ascii="Helvetica" w:hAnsi="Helvetica"/>
          <w:sz w:val="24"/>
          <w:szCs w:val="24"/>
        </w:rPr>
        <w:t xml:space="preserve">wholly </w:t>
      </w:r>
      <w:r w:rsidRPr="00CA7DDD">
        <w:rPr>
          <w:rFonts w:ascii="Helvetica" w:hAnsi="Helvetica"/>
          <w:sz w:val="24"/>
          <w:szCs w:val="24"/>
        </w:rPr>
        <w:t>within the Oxford Smart Zone</w:t>
      </w:r>
      <w:r w:rsidR="002D1D85">
        <w:rPr>
          <w:rFonts w:ascii="Helvetica" w:hAnsi="Helvetica"/>
          <w:sz w:val="24"/>
          <w:szCs w:val="24"/>
        </w:rPr>
        <w:t>.</w:t>
      </w:r>
      <w:r w:rsidRPr="00CA7DDD">
        <w:rPr>
          <w:rFonts w:ascii="Helvetica" w:hAnsi="Helvetica"/>
          <w:sz w:val="24"/>
          <w:szCs w:val="24"/>
          <w:lang w:eastAsia="en-GB"/>
        </w:rPr>
        <w:t xml:space="preserve"> They will save an estimated 9,200 tonnes of carbon dioxide emissions each year – the equivalent of taking more than 6,000 cars off the road – and will mean that approximately 70% of bus miles driven in the Smart Zone area will be operated by electric buses.</w:t>
      </w:r>
      <w:r w:rsidR="00CA7DDD">
        <w:rPr>
          <w:rFonts w:ascii="Helvetica" w:hAnsi="Helvetica"/>
          <w:sz w:val="24"/>
          <w:szCs w:val="24"/>
          <w:lang w:eastAsia="en-GB"/>
        </w:rPr>
        <w:t xml:space="preserve"> </w:t>
      </w:r>
    </w:p>
    <w:p w14:paraId="5DA5935B" w14:textId="1EEF775E" w:rsidR="00CA7DDD" w:rsidRPr="00CA7DDD" w:rsidRDefault="00CA7DDD" w:rsidP="00CA7DD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eastAsia="en-GB"/>
        </w:rPr>
        <w:t xml:space="preserve">This is </w:t>
      </w:r>
      <w:r w:rsidRPr="007D1DA9">
        <w:rPr>
          <w:rFonts w:ascii="Helvetica" w:hAnsi="Helvetica"/>
          <w:b/>
          <w:bCs/>
          <w:sz w:val="24"/>
          <w:szCs w:val="24"/>
          <w:lang w:eastAsia="en-GB"/>
        </w:rPr>
        <w:t>in addition</w:t>
      </w:r>
      <w:r w:rsidRPr="00270C6B">
        <w:rPr>
          <w:rFonts w:ascii="Helvetica" w:hAnsi="Helvetica"/>
          <w:sz w:val="24"/>
          <w:szCs w:val="24"/>
          <w:lang w:eastAsia="en-GB"/>
        </w:rPr>
        <w:t xml:space="preserve"> to the £12.7m secured</w:t>
      </w:r>
      <w:r>
        <w:rPr>
          <w:rFonts w:ascii="Helvetica" w:hAnsi="Helvetica"/>
          <w:sz w:val="24"/>
          <w:szCs w:val="24"/>
          <w:lang w:eastAsia="en-GB"/>
        </w:rPr>
        <w:t xml:space="preserve"> </w:t>
      </w:r>
      <w:r w:rsidR="00270C6B">
        <w:rPr>
          <w:rFonts w:ascii="Helvetica" w:hAnsi="Helvetica"/>
          <w:sz w:val="24"/>
          <w:szCs w:val="24"/>
          <w:lang w:eastAsia="en-GB"/>
        </w:rPr>
        <w:t>(</w:t>
      </w:r>
      <w:r w:rsidR="00270C6B">
        <w:rPr>
          <w:rFonts w:ascii="Helvetica" w:hAnsi="Helvetica"/>
          <w:sz w:val="24"/>
          <w:szCs w:val="24"/>
          <w:lang w:eastAsia="en-GB"/>
        </w:rPr>
        <w:t xml:space="preserve">out of the </w:t>
      </w:r>
      <w:r w:rsidR="00270C6B" w:rsidRPr="00CA7DDD">
        <w:rPr>
          <w:rFonts w:ascii="Helvetica" w:hAnsi="Helvetica"/>
          <w:sz w:val="24"/>
          <w:szCs w:val="24"/>
          <w:lang w:eastAsia="en-GB"/>
        </w:rPr>
        <w:t xml:space="preserve">£56 million </w:t>
      </w:r>
      <w:r w:rsidR="00270C6B">
        <w:rPr>
          <w:rFonts w:ascii="Helvetica" w:hAnsi="Helvetica"/>
          <w:sz w:val="24"/>
          <w:szCs w:val="24"/>
          <w:lang w:eastAsia="en-GB"/>
        </w:rPr>
        <w:t>originally requested</w:t>
      </w:r>
      <w:r w:rsidR="00270C6B">
        <w:rPr>
          <w:rFonts w:ascii="Helvetica" w:hAnsi="Helvetica"/>
          <w:sz w:val="24"/>
          <w:szCs w:val="24"/>
          <w:lang w:eastAsia="en-GB"/>
        </w:rPr>
        <w:t xml:space="preserve">) </w:t>
      </w:r>
      <w:r>
        <w:rPr>
          <w:rFonts w:ascii="Helvetica" w:hAnsi="Helvetica"/>
          <w:sz w:val="24"/>
          <w:szCs w:val="24"/>
          <w:lang w:eastAsia="en-GB"/>
        </w:rPr>
        <w:t xml:space="preserve">as part of the National Bus Strategy fund - </w:t>
      </w:r>
      <w:r w:rsidRPr="00CA7DDD">
        <w:rPr>
          <w:rFonts w:ascii="Helvetica" w:hAnsi="Helvetica"/>
          <w:sz w:val="24"/>
          <w:szCs w:val="24"/>
        </w:rPr>
        <w:t xml:space="preserve">31 areas across England were awarded money under the latest </w:t>
      </w:r>
      <w:r w:rsidR="00270C6B">
        <w:rPr>
          <w:rFonts w:ascii="Helvetica" w:hAnsi="Helvetica"/>
          <w:sz w:val="24"/>
          <w:szCs w:val="24"/>
        </w:rPr>
        <w:t xml:space="preserve">round </w:t>
      </w:r>
      <w:r w:rsidRPr="00CA7DDD">
        <w:rPr>
          <w:rFonts w:ascii="Helvetica" w:hAnsi="Helvetica"/>
          <w:sz w:val="24"/>
          <w:szCs w:val="24"/>
        </w:rPr>
        <w:t>of the Bus Service Improvement Plan (BSIP) scheme.</w:t>
      </w:r>
      <w:r w:rsidR="00270C6B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eastAsia="en-GB"/>
        </w:rPr>
        <w:t>Many areas received nothing at all.</w:t>
      </w:r>
    </w:p>
    <w:p w14:paraId="403050A7" w14:textId="7C8AEE00" w:rsidR="00CA7DDD" w:rsidRDefault="00CA7DDD" w:rsidP="00270C6B">
      <w:pPr>
        <w:shd w:val="clear" w:color="auto" w:fill="FFFFFF"/>
        <w:suppressAutoHyphens w:val="0"/>
        <w:spacing w:before="180" w:after="180" w:line="240" w:lineRule="auto"/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</w:pPr>
      <w:r w:rsidRPr="00270C6B">
        <w:rPr>
          <w:rFonts w:ascii="Helvetica" w:eastAsia="Times New Roman" w:hAnsi="Helvetica" w:cs="Times New Roman"/>
          <w:color w:val="1A1A1A"/>
          <w:kern w:val="36"/>
          <w:sz w:val="24"/>
          <w:szCs w:val="24"/>
          <w:lang w:eastAsia="en-GB"/>
        </w:rPr>
        <w:t>Separately,</w:t>
      </w:r>
      <w:r>
        <w:rPr>
          <w:rFonts w:ascii="Helvetica" w:eastAsia="Times New Roman" w:hAnsi="Helvetica" w:cs="Times New Roman"/>
          <w:b/>
          <w:bCs/>
          <w:color w:val="1A1A1A"/>
          <w:kern w:val="36"/>
          <w:sz w:val="24"/>
          <w:szCs w:val="24"/>
          <w:lang w:eastAsia="en-GB"/>
        </w:rPr>
        <w:t xml:space="preserve">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Oxfordshire County Council has received £500,000 to support Oxford to become a </w:t>
      </w:r>
      <w:proofErr w:type="gramStart"/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zero emission</w:t>
      </w:r>
      <w:proofErr w:type="gramEnd"/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transport city, as part of a government pilot programme.</w:t>
      </w:r>
      <w:r w:rsidR="00270C6B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The Department for Transport invited cities who are keen to decarbonise their transportation systems and make zero emission travel more accessible to apply for funding.</w:t>
      </w:r>
      <w:r w:rsidR="00270C6B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Oxfordshire County Council is one of </w:t>
      </w:r>
      <w:r w:rsidR="002D1D85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just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three local authorities to receive th</w:t>
      </w:r>
      <w:r w:rsidR="002D1D85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is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funding</w:t>
      </w:r>
      <w:r w:rsidR="002D1D85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,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selected because of </w:t>
      </w:r>
      <w:r w:rsidR="002D1D85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our </w:t>
      </w:r>
      <w:r w:rsidRPr="0014268F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commitment to deliver extensive bike lanes, an all-electric bus fleet, restrictions that discourage petrol and diesel vehicles, and initiatives that increase the use of electric cargo bikes (e-cargo) and vans</w:t>
      </w:r>
      <w:r w:rsidR="002D1D85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for deliveries.</w:t>
      </w:r>
    </w:p>
    <w:p w14:paraId="154E8265" w14:textId="1D42E2D4" w:rsidR="007D1DA9" w:rsidRPr="00C5153E" w:rsidRDefault="007D1DA9" w:rsidP="00270C6B">
      <w:pPr>
        <w:shd w:val="clear" w:color="auto" w:fill="FFFFFF"/>
        <w:suppressAutoHyphens w:val="0"/>
        <w:spacing w:before="180" w:after="180" w:line="240" w:lineRule="auto"/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Of immediate local interest, I have received confirmation from cabinet member Tim Bearder that the routing of the X39/X40 service remains under review, and there is optimism that the 3</w:t>
      </w:r>
      <w:r w:rsidRPr="007D1DA9">
        <w:rPr>
          <w:rFonts w:ascii="Helvetica" w:eastAsia="Times New Roman" w:hAnsi="Helvetica" w:cs="Times New Roman"/>
          <w:color w:val="0B0C0C"/>
          <w:sz w:val="24"/>
          <w:szCs w:val="24"/>
          <w:vertAlign w:val="superscript"/>
          <w:lang w:eastAsia="en-GB"/>
        </w:rPr>
        <w:t>rd</w:t>
      </w:r>
      <w:r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hourly service may return in September.</w:t>
      </w:r>
    </w:p>
    <w:p w14:paraId="21501EBE" w14:textId="73639E1B" w:rsidR="0014268F" w:rsidRDefault="00270C6B" w:rsidP="00D53427">
      <w:pPr>
        <w:shd w:val="clear" w:color="auto" w:fill="FFFFFF"/>
        <w:suppressAutoHyphens w:val="0"/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>
        <w:rPr>
          <w:rFonts w:ascii="Helvetica" w:hAnsi="Helvetica" w:cs="Times New Roman"/>
          <w:b/>
          <w:bCs/>
          <w:sz w:val="24"/>
          <w:szCs w:val="24"/>
        </w:rPr>
        <w:t xml:space="preserve">HIF1 </w:t>
      </w:r>
      <w:r>
        <w:rPr>
          <w:rFonts w:ascii="Helvetica" w:eastAsia="Times New Roman" w:hAnsi="Helvetica" w:cs="Times New Roman"/>
          <w:b/>
          <w:bCs/>
          <w:color w:val="1A1A1A"/>
          <w:sz w:val="24"/>
          <w:szCs w:val="24"/>
          <w:lang w:eastAsia="en-GB"/>
        </w:rPr>
        <w:t>Didcot/</w:t>
      </w:r>
      <w:proofErr w:type="spellStart"/>
      <w:r>
        <w:rPr>
          <w:rFonts w:ascii="Helvetica" w:eastAsia="Times New Roman" w:hAnsi="Helvetica" w:cs="Times New Roman"/>
          <w:b/>
          <w:bCs/>
          <w:color w:val="1A1A1A"/>
          <w:sz w:val="24"/>
          <w:szCs w:val="24"/>
          <w:lang w:eastAsia="en-GB"/>
        </w:rPr>
        <w:t>Culham</w:t>
      </w:r>
      <w:proofErr w:type="spellEnd"/>
      <w:r>
        <w:rPr>
          <w:rFonts w:ascii="Helvetica" w:eastAsia="Times New Roman" w:hAnsi="Helvetica" w:cs="Times New Roman"/>
          <w:b/>
          <w:bCs/>
          <w:color w:val="1A1A1A"/>
          <w:sz w:val="24"/>
          <w:szCs w:val="24"/>
          <w:lang w:eastAsia="en-GB"/>
        </w:rPr>
        <w:t>/Clifton Hampden bypass</w:t>
      </w:r>
      <w:r w:rsidR="007D1DA9">
        <w:rPr>
          <w:rFonts w:ascii="Helvetica" w:eastAsia="Times New Roman" w:hAnsi="Helvetica" w:cs="Times New Roman"/>
          <w:b/>
          <w:bCs/>
          <w:color w:val="1A1A1A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1A1A1A"/>
          <w:sz w:val="24"/>
          <w:szCs w:val="24"/>
          <w:lang w:eastAsia="en-GB"/>
        </w:rPr>
        <w:t xml:space="preserve">project </w:t>
      </w:r>
    </w:p>
    <w:p w14:paraId="78637F90" w14:textId="7DDEDAA1" w:rsidR="00D53427" w:rsidRPr="0014268F" w:rsidRDefault="00D53427" w:rsidP="007D1DA9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  <w:r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lastRenderedPageBreak/>
        <w:t>A</w:t>
      </w:r>
      <w:r w:rsidR="0050646E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fter representations from local councillors</w:t>
      </w:r>
      <w:r w:rsid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, </w:t>
      </w:r>
      <w:r w:rsidR="00C5153E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OCC cabinet</w:t>
      </w:r>
      <w:r w:rsidR="00270C6B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</w:t>
      </w:r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have delayed </w:t>
      </w:r>
      <w:r w:rsidR="00270C6B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their </w:t>
      </w:r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final </w:t>
      </w:r>
      <w:r w:rsidR="00C5153E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decision on the </w:t>
      </w:r>
      <w:r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HIF1 </w:t>
      </w:r>
      <w:r w:rsidR="00AC0C05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project, requesting </w:t>
      </w:r>
      <w:r w:rsidR="00C5153E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assurances from government</w:t>
      </w:r>
      <w:r w:rsidR="00AC0C05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before final approval</w:t>
      </w:r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. The project</w:t>
      </w:r>
      <w:r w:rsidR="0014268F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</w:t>
      </w:r>
      <w:r w:rsidR="00AC0C05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budget ha</w:t>
      </w:r>
      <w:r w:rsidR="0014268F" w:rsidRPr="00270C6B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s increased to £296million from the original planned £235m</w:t>
      </w:r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, meaning the council now </w:t>
      </w:r>
      <w:proofErr w:type="gramStart"/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has to</w:t>
      </w:r>
      <w:proofErr w:type="gramEnd"/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borrow to fund some of the costs. The council has asked for-</w:t>
      </w:r>
    </w:p>
    <w:p w14:paraId="175BFF48" w14:textId="56215BAB" w:rsidR="007F64BE" w:rsidRPr="0014268F" w:rsidRDefault="00D53427" w:rsidP="007D1DA9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="0050646E" w:rsidRPr="0014268F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n-GB"/>
        </w:rPr>
        <w:t>n extension to 31st March 2026 and assurance that risks to the delivery timeframe caused by exceptional circumstances will be mitigated</w:t>
      </w:r>
      <w:r w:rsidRPr="0014268F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. </w:t>
      </w:r>
    </w:p>
    <w:p w14:paraId="5DC8B8C5" w14:textId="391CC5D0" w:rsidR="007F64BE" w:rsidRPr="0014268F" w:rsidRDefault="007F64BE" w:rsidP="007D1DA9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</w:p>
    <w:p w14:paraId="5DC385AF" w14:textId="2A61C4B3" w:rsidR="007F64BE" w:rsidRPr="0014268F" w:rsidRDefault="00D53427" w:rsidP="007D1DA9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C</w:t>
      </w:r>
      <w:r w:rsidR="0050646E" w:rsidRPr="0014268F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onfirmation that the Council has flexibility</w:t>
      </w:r>
      <w:r w:rsidR="00C5153E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</w:t>
      </w:r>
      <w:r w:rsidR="0050646E" w:rsidRPr="0014268F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to design and deliver infrastructure that will reduce the carbon impact and reduce the need to travel by car</w:t>
      </w: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. </w:t>
      </w:r>
    </w:p>
    <w:p w14:paraId="7BB79B6E" w14:textId="77777777" w:rsidR="007F64BE" w:rsidRPr="0014268F" w:rsidRDefault="007F64BE" w:rsidP="007D1DA9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</w:p>
    <w:p w14:paraId="29C067E7" w14:textId="29544D45" w:rsidR="007F64BE" w:rsidRPr="0014268F" w:rsidRDefault="0050646E" w:rsidP="007D1DA9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The draft of any amended GDA </w:t>
      </w:r>
      <w:r w:rsidR="00D53427"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(Grant Determination Agreement) </w:t>
      </w:r>
      <w:proofErr w:type="gramStart"/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to </w:t>
      </w: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be</w:t>
      </w:r>
      <w:proofErr w:type="gramEnd"/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presented to </w:t>
      </w:r>
      <w:r w:rsid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OCC </w:t>
      </w: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Cabinet for approval. </w:t>
      </w:r>
    </w:p>
    <w:p w14:paraId="347B9AA8" w14:textId="77777777" w:rsidR="007F64BE" w:rsidRPr="0014268F" w:rsidRDefault="007F64BE" w:rsidP="007D1DA9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</w:p>
    <w:p w14:paraId="7921AEDC" w14:textId="0D412D9E" w:rsidR="007F64BE" w:rsidRPr="0014268F" w:rsidRDefault="00AC0C05" w:rsidP="007D1DA9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A</w:t>
      </w:r>
      <w:r w:rsidR="0050646E"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Cabinet Advisory Group (CAG) </w:t>
      </w:r>
      <w:r w:rsid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to be</w:t>
      </w: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set up </w:t>
      </w:r>
      <w:r w:rsidR="0050646E"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to oversee the detailed design and development of HIF1</w:t>
      </w:r>
      <w:r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, </w:t>
      </w:r>
      <w:r w:rsidR="0050646E"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consistent with </w:t>
      </w:r>
      <w:r w:rsidR="00C5153E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OCC</w:t>
      </w:r>
      <w:r w:rsidR="007D1DA9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’s new</w:t>
      </w:r>
      <w:r w:rsidR="0050646E"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 strategic priorities. </w:t>
      </w:r>
    </w:p>
    <w:p w14:paraId="195F693C" w14:textId="77777777" w:rsidR="007F64BE" w:rsidRPr="0014268F" w:rsidRDefault="007F64BE" w:rsidP="007D1DA9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</w:pPr>
    </w:p>
    <w:p w14:paraId="6442928F" w14:textId="187FB528" w:rsidR="0050646E" w:rsidRPr="0014268F" w:rsidRDefault="0014268F" w:rsidP="007D1DA9">
      <w:pPr>
        <w:pStyle w:val="ListParagraph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>D</w:t>
      </w:r>
      <w:r w:rsidR="0050646E" w:rsidRPr="0014268F">
        <w:rPr>
          <w:rFonts w:ascii="Helvetica" w:eastAsia="Times New Roman" w:hAnsi="Helvetica" w:cs="Times New Roman"/>
          <w:color w:val="1A1A1A"/>
          <w:sz w:val="24"/>
          <w:szCs w:val="24"/>
          <w:lang w:eastAsia="en-GB"/>
        </w:rPr>
        <w:t xml:space="preserve">evelopment of a new Didcot area transport strategy and masterplan </w:t>
      </w:r>
    </w:p>
    <w:p w14:paraId="6ED230D8" w14:textId="77777777" w:rsidR="00D53427" w:rsidRPr="0014268F" w:rsidRDefault="00D53427" w:rsidP="0050646E">
      <w:pPr>
        <w:suppressAutoHyphens w:val="0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sectPr w:rsidR="00D53427" w:rsidRPr="0014268F" w:rsidSect="009B1DCE">
      <w:pgSz w:w="11906" w:h="16838"/>
      <w:pgMar w:top="1028" w:right="1440" w:bottom="66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C5C"/>
    <w:multiLevelType w:val="multilevel"/>
    <w:tmpl w:val="BD5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F7796"/>
    <w:multiLevelType w:val="multilevel"/>
    <w:tmpl w:val="B2503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F088D"/>
    <w:multiLevelType w:val="multilevel"/>
    <w:tmpl w:val="99F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1422E"/>
    <w:multiLevelType w:val="multilevel"/>
    <w:tmpl w:val="3B8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D0AA7"/>
    <w:multiLevelType w:val="multilevel"/>
    <w:tmpl w:val="B2503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3533D"/>
    <w:multiLevelType w:val="hybridMultilevel"/>
    <w:tmpl w:val="2FB6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60090"/>
    <w:multiLevelType w:val="multilevel"/>
    <w:tmpl w:val="3BDE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8222CE"/>
    <w:multiLevelType w:val="multilevel"/>
    <w:tmpl w:val="DFB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2140478">
    <w:abstractNumId w:val="3"/>
  </w:num>
  <w:num w:numId="2" w16cid:durableId="1150945201">
    <w:abstractNumId w:val="7"/>
  </w:num>
  <w:num w:numId="3" w16cid:durableId="1942369431">
    <w:abstractNumId w:val="0"/>
  </w:num>
  <w:num w:numId="4" w16cid:durableId="1476793802">
    <w:abstractNumId w:val="6"/>
  </w:num>
  <w:num w:numId="5" w16cid:durableId="2124374384">
    <w:abstractNumId w:val="2"/>
  </w:num>
  <w:num w:numId="6" w16cid:durableId="1413817254">
    <w:abstractNumId w:val="5"/>
  </w:num>
  <w:num w:numId="7" w16cid:durableId="1277786058">
    <w:abstractNumId w:val="4"/>
  </w:num>
  <w:num w:numId="8" w16cid:durableId="141990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06"/>
    <w:rsid w:val="000222E0"/>
    <w:rsid w:val="0014268F"/>
    <w:rsid w:val="00181213"/>
    <w:rsid w:val="00201371"/>
    <w:rsid w:val="0021068D"/>
    <w:rsid w:val="00252A29"/>
    <w:rsid w:val="00265F25"/>
    <w:rsid w:val="00270C6B"/>
    <w:rsid w:val="002863BB"/>
    <w:rsid w:val="00292625"/>
    <w:rsid w:val="002D1D85"/>
    <w:rsid w:val="003F439F"/>
    <w:rsid w:val="00467F5E"/>
    <w:rsid w:val="0049121C"/>
    <w:rsid w:val="004B570D"/>
    <w:rsid w:val="004D0130"/>
    <w:rsid w:val="004F1908"/>
    <w:rsid w:val="0050646E"/>
    <w:rsid w:val="00567297"/>
    <w:rsid w:val="00583701"/>
    <w:rsid w:val="005D2423"/>
    <w:rsid w:val="005F48F4"/>
    <w:rsid w:val="005F79D3"/>
    <w:rsid w:val="00683C7C"/>
    <w:rsid w:val="0069310F"/>
    <w:rsid w:val="0069400E"/>
    <w:rsid w:val="00697F84"/>
    <w:rsid w:val="006D6A26"/>
    <w:rsid w:val="00732437"/>
    <w:rsid w:val="007B0F3A"/>
    <w:rsid w:val="007C3BA6"/>
    <w:rsid w:val="007D1DA9"/>
    <w:rsid w:val="007F64BE"/>
    <w:rsid w:val="008F264A"/>
    <w:rsid w:val="009379A9"/>
    <w:rsid w:val="009A72A8"/>
    <w:rsid w:val="009B1DCE"/>
    <w:rsid w:val="00A21D8E"/>
    <w:rsid w:val="00A245A2"/>
    <w:rsid w:val="00A37304"/>
    <w:rsid w:val="00A41CE5"/>
    <w:rsid w:val="00A74C80"/>
    <w:rsid w:val="00A96C43"/>
    <w:rsid w:val="00AC0C05"/>
    <w:rsid w:val="00AC5108"/>
    <w:rsid w:val="00AF34B0"/>
    <w:rsid w:val="00B3183D"/>
    <w:rsid w:val="00B94D8F"/>
    <w:rsid w:val="00BA3AC0"/>
    <w:rsid w:val="00C34081"/>
    <w:rsid w:val="00C45291"/>
    <w:rsid w:val="00C5153E"/>
    <w:rsid w:val="00CA7DDD"/>
    <w:rsid w:val="00D22FA2"/>
    <w:rsid w:val="00D53427"/>
    <w:rsid w:val="00DD1099"/>
    <w:rsid w:val="00DF5C06"/>
    <w:rsid w:val="00E851EE"/>
    <w:rsid w:val="00E91E67"/>
    <w:rsid w:val="00F02969"/>
    <w:rsid w:val="00F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2357"/>
  <w15:docId w15:val="{572DA8B1-5645-4D41-957C-F8EE1461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52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1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1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1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1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1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1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1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E0D1A"/>
    <w:rPr>
      <w:color w:val="954F72" w:themeColor="followed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odyTextChar">
    <w:name w:val="Body Text Char"/>
    <w:basedOn w:val="DefaultParagraphFont"/>
    <w:link w:val="BodyText"/>
    <w:qFormat/>
    <w:rsid w:val="006767E3"/>
    <w:rPr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393964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0115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01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C011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0115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0115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0115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0115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0115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011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qFormat/>
    <w:rsid w:val="00C011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C0115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01152"/>
    <w:rPr>
      <w:b/>
      <w:bCs/>
    </w:rPr>
  </w:style>
  <w:style w:type="character" w:styleId="Emphasis">
    <w:name w:val="Emphasis"/>
    <w:basedOn w:val="DefaultParagraphFont"/>
    <w:uiPriority w:val="20"/>
    <w:qFormat/>
    <w:rsid w:val="00C011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C01152"/>
    <w:rPr>
      <w:color w:val="44546A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C011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11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11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1152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C0115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1152"/>
    <w:rPr>
      <w:b/>
      <w:bCs/>
      <w:smallCaps/>
      <w:spacing w:val="10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C01152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5A13"/>
    <w:pPr>
      <w:ind w:left="720"/>
      <w:contextualSpacing/>
    </w:pPr>
  </w:style>
  <w:style w:type="paragraph" w:customStyle="1" w:styleId="xmsonormal">
    <w:name w:val="x_msonormal"/>
    <w:basedOn w:val="Normal"/>
    <w:qFormat/>
    <w:rsid w:val="008E3856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qFormat/>
    <w:rsid w:val="00564911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93964"/>
    <w:pPr>
      <w:spacing w:after="0" w:line="240" w:lineRule="auto"/>
    </w:pPr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11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152"/>
    <w:p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oSpacing">
    <w:name w:val="No Spacing"/>
    <w:uiPriority w:val="1"/>
    <w:qFormat/>
    <w:rsid w:val="00C01152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01152"/>
    <w:pPr>
      <w:spacing w:before="120" w:after="120"/>
      <w:ind w:left="72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152"/>
    <w:pPr>
      <w:spacing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152"/>
  </w:style>
  <w:style w:type="table" w:styleId="TableGrid">
    <w:name w:val="Table Grid"/>
    <w:basedOn w:val="TableNormal"/>
    <w:uiPriority w:val="39"/>
    <w:rsid w:val="00FA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65F25"/>
  </w:style>
  <w:style w:type="paragraph" w:styleId="Revision">
    <w:name w:val="Revision"/>
    <w:hidden/>
    <w:uiPriority w:val="99"/>
    <w:semiHidden/>
    <w:rsid w:val="007F64BE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603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jones/Desktop/CVs/TEMPLATE%20Parish%20xxyyz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Parish xxyyzz.dotx</Template>
  <TotalTime>18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Bennett, Robin</cp:lastModifiedBy>
  <cp:revision>4</cp:revision>
  <dcterms:created xsi:type="dcterms:W3CDTF">2022-04-07T15:09:00Z</dcterms:created>
  <dcterms:modified xsi:type="dcterms:W3CDTF">2022-04-07T15:28:00Z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